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57" w:rsidRPr="00837557" w:rsidRDefault="00837557" w:rsidP="00837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D5EF" wp14:editId="2A20F257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57" w:rsidRPr="00837557" w:rsidRDefault="00837557" w:rsidP="0083755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37557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837557" w:rsidRPr="00837557" w:rsidRDefault="00837557" w:rsidP="0083755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37557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837557" w:rsidRPr="00837557" w:rsidRDefault="00837557" w:rsidP="00837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837557" w:rsidRPr="00837557" w:rsidRDefault="00837557" w:rsidP="0083755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37557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837557" w:rsidRPr="00837557" w:rsidRDefault="00837557" w:rsidP="00837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B624" wp14:editId="3C41684F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837557" w:rsidRPr="00837557" w:rsidRDefault="00837557" w:rsidP="00837557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7557" w:rsidRPr="00837557" w:rsidRDefault="00E64F58" w:rsidP="00837557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55573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837557"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55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01. </w:t>
      </w:r>
      <w:r w:rsidR="00837557"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>2022 г.    №</w:t>
      </w:r>
      <w:r w:rsidR="001555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</w:t>
      </w:r>
    </w:p>
    <w:p w:rsidR="00837557" w:rsidRPr="00837557" w:rsidRDefault="00837557" w:rsidP="00837557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837557" w:rsidRPr="00837557" w:rsidRDefault="00837557" w:rsidP="008375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7557" w:rsidRPr="00837557" w:rsidRDefault="00837557" w:rsidP="008375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837557" w:rsidRPr="00837557" w:rsidTr="00D17823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557" w:rsidRPr="00837557" w:rsidRDefault="00837557" w:rsidP="00E64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375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</w:t>
            </w:r>
            <w:proofErr w:type="gramEnd"/>
            <w:r w:rsidRPr="008375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64F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признании утратившими силу постановлений администрации </w:t>
            </w:r>
            <w:proofErr w:type="spellStart"/>
            <w:r w:rsidR="00E64F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Чебаркульского</w:t>
            </w:r>
            <w:proofErr w:type="spellEnd"/>
            <w:r w:rsidR="00E64F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</w:t>
            </w:r>
            <w:r w:rsidRPr="008375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837557" w:rsidRPr="00837557" w:rsidRDefault="00837557" w:rsidP="008375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7557" w:rsidRPr="00837557" w:rsidRDefault="00837557" w:rsidP="008375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7557" w:rsidRPr="00837557" w:rsidRDefault="00837557" w:rsidP="00837557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37557" w:rsidRPr="00837557" w:rsidRDefault="00837557" w:rsidP="00837557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7557" w:rsidRPr="00435C56" w:rsidRDefault="00837557" w:rsidP="00837557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zh-CN"/>
        </w:rPr>
      </w:pPr>
    </w:p>
    <w:p w:rsidR="00837557" w:rsidRPr="00837557" w:rsidRDefault="00837557" w:rsidP="00837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                       «Об общих принципах организации местного самоуправления Российской Федерации»,</w:t>
      </w:r>
      <w:r w:rsidR="009D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разработки, реализации и оценки эффективности муниципальных программ </w:t>
      </w:r>
      <w:proofErr w:type="spellStart"/>
      <w:r w:rsidR="009D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="009D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18.05.2022 г. № 322, </w:t>
      </w:r>
      <w:r w:rsidR="00E6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36, 37 Устава </w:t>
      </w:r>
      <w:proofErr w:type="spellStart"/>
      <w:r w:rsidR="00E6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="00E6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</w:p>
    <w:p w:rsidR="00837557" w:rsidRPr="00837557" w:rsidRDefault="00837557" w:rsidP="008375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E64F58" w:rsidRDefault="00837557" w:rsidP="00E64F58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E64F5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утратившими силу с 01.01.2</w:t>
      </w:r>
      <w:r w:rsid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023</w:t>
      </w:r>
      <w:r w:rsidR="00E64F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 администрации </w:t>
      </w:r>
      <w:proofErr w:type="spellStart"/>
      <w:r w:rsidR="00E64F58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="00E64F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округа:</w:t>
      </w:r>
    </w:p>
    <w:p w:rsidR="00E64F58" w:rsidRDefault="00E64F58" w:rsidP="00E64F58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 10.11.2021 № </w:t>
      </w:r>
      <w:r w:rsidR="0016393F">
        <w:rPr>
          <w:rFonts w:ascii="Times New Roman" w:eastAsia="Times New Roman" w:hAnsi="Times New Roman" w:cs="Times New Roman"/>
          <w:sz w:val="28"/>
          <w:szCs w:val="28"/>
          <w:lang w:eastAsia="zh-CN"/>
        </w:rPr>
        <w:t>657 «Об утверждении муниципальной программы «Доступная среда»</w:t>
      </w:r>
      <w:r w:rsid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9548B3">
        <w:rPr>
          <w:rFonts w:ascii="Times New Roman" w:eastAsia="Times New Roman" w:hAnsi="Times New Roman" w:cs="Times New Roman"/>
          <w:sz w:val="28"/>
          <w:szCs w:val="28"/>
          <w:lang w:eastAsia="zh-CN"/>
        </w:rPr>
        <w:t>с изменениями от 30.12.2022 № 990</w:t>
      </w:r>
      <w:r w:rsid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4A0AA8" w:rsidRDefault="004A0AA8" w:rsidP="00E64F58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от 10.11.2021 № 658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Крепкая семья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» (</w:t>
      </w:r>
      <w:r w:rsidR="009548B3">
        <w:rPr>
          <w:rFonts w:ascii="Times New Roman" w:eastAsia="Times New Roman" w:hAnsi="Times New Roman" w:cs="Times New Roman"/>
          <w:sz w:val="28"/>
          <w:szCs w:val="28"/>
          <w:lang w:eastAsia="zh-CN"/>
        </w:rPr>
        <w:t>с изменениями от 30.12.2022 № 988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4A0AA8" w:rsidRPr="00E64F58" w:rsidRDefault="004A0AA8" w:rsidP="00E64F58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10.11.2021 № 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60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социальной поддержке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» (с изменениями от 30.12.2022 №</w:t>
      </w:r>
      <w:r w:rsidR="009548B3">
        <w:rPr>
          <w:rFonts w:ascii="Times New Roman" w:eastAsia="Times New Roman" w:hAnsi="Times New Roman" w:cs="Times New Roman"/>
          <w:sz w:val="28"/>
          <w:szCs w:val="28"/>
          <w:lang w:eastAsia="zh-CN"/>
        </w:rPr>
        <w:t>987</w:t>
      </w:r>
      <w:r w:rsidRPr="004A0AA8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37557" w:rsidRPr="004A0AA8" w:rsidRDefault="00837557" w:rsidP="004A0AA8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837557" w:rsidRPr="00837557" w:rsidRDefault="004A0AA8" w:rsidP="00837557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7557"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837557" w:rsidRDefault="00837557" w:rsidP="008D6EFF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6EFF" w:rsidRPr="00837557" w:rsidRDefault="008D6EFF" w:rsidP="008D6EFF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7557" w:rsidRPr="00837557" w:rsidRDefault="00837557" w:rsidP="0083755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4E2FE2" w:rsidRDefault="00837557" w:rsidP="00435C5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А. Виноградова</w:t>
      </w:r>
    </w:p>
    <w:p w:rsidR="009548B3" w:rsidRPr="00435C56" w:rsidRDefault="009548B3" w:rsidP="00435C5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9548B3" w:rsidRPr="00435C56" w:rsidSect="00435C5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57"/>
    <w:rsid w:val="00155573"/>
    <w:rsid w:val="0016393F"/>
    <w:rsid w:val="00435C56"/>
    <w:rsid w:val="004A0AA8"/>
    <w:rsid w:val="004E2FE2"/>
    <w:rsid w:val="00837557"/>
    <w:rsid w:val="008D6EFF"/>
    <w:rsid w:val="009548B3"/>
    <w:rsid w:val="009D6FE1"/>
    <w:rsid w:val="00E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2023-01-12T12:06:00Z</cp:lastPrinted>
  <dcterms:created xsi:type="dcterms:W3CDTF">2022-10-13T11:39:00Z</dcterms:created>
  <dcterms:modified xsi:type="dcterms:W3CDTF">2023-12-20T08:20:00Z</dcterms:modified>
</cp:coreProperties>
</file>